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A589" w14:textId="77777777" w:rsidR="00C271E8" w:rsidRPr="0020543C" w:rsidRDefault="00000000" w:rsidP="00480775">
      <w:pPr>
        <w:spacing w:before="100" w:beforeAutospacing="1" w:after="100" w:afterAutospacing="1" w:line="240" w:lineRule="auto"/>
        <w:jc w:val="center"/>
        <w:rPr>
          <w:b/>
          <w:bCs/>
          <w:sz w:val="20"/>
          <w:szCs w:val="20"/>
        </w:rPr>
      </w:pPr>
      <w:r w:rsidRPr="0020543C">
        <w:rPr>
          <w:b/>
          <w:bCs/>
          <w:sz w:val="20"/>
          <w:szCs w:val="20"/>
        </w:rPr>
        <w:t>OpenEMIS Service Desk</w:t>
      </w:r>
      <w:r w:rsidRPr="0020543C">
        <w:rPr>
          <w:b/>
          <w:bCs/>
          <w:sz w:val="20"/>
          <w:szCs w:val="20"/>
        </w:rPr>
        <w:br/>
        <w:t>Service Level Agreement (SLA)</w:t>
      </w:r>
    </w:p>
    <w:p w14:paraId="39345D19" w14:textId="77777777" w:rsidR="00C271E8" w:rsidRPr="0020543C" w:rsidRDefault="00C271E8" w:rsidP="00480775">
      <w:pPr>
        <w:spacing w:before="100" w:beforeAutospacing="1" w:after="100" w:afterAutospacing="1" w:line="240" w:lineRule="auto"/>
        <w:rPr>
          <w:sz w:val="20"/>
          <w:szCs w:val="20"/>
        </w:rPr>
      </w:pPr>
    </w:p>
    <w:p w14:paraId="28E46A51"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1. Introduction</w:t>
      </w:r>
    </w:p>
    <w:p w14:paraId="131238B8" w14:textId="77777777" w:rsidR="00B81D92" w:rsidRPr="0020543C" w:rsidRDefault="00B81D92" w:rsidP="00480775">
      <w:pPr>
        <w:spacing w:before="100" w:beforeAutospacing="1" w:after="100" w:afterAutospacing="1" w:line="240" w:lineRule="auto"/>
        <w:rPr>
          <w:sz w:val="20"/>
          <w:szCs w:val="20"/>
        </w:rPr>
      </w:pPr>
      <w:r w:rsidRPr="0020543C">
        <w:rPr>
          <w:sz w:val="20"/>
          <w:szCs w:val="20"/>
        </w:rPr>
        <w:t xml:space="preserve">This Service Level Agreement ("SLA") outlines the terms and conditions under which the OpenEMIS lab coordinated by Community Systems Foundation, hereinafter referred to as "the Service Provider," will provide service desk support for its software products to OpenEMIS countries, hereinafter referred to as "the Client." </w:t>
      </w:r>
    </w:p>
    <w:p w14:paraId="7752FEEC"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2. Service Desk Scope</w:t>
      </w:r>
    </w:p>
    <w:p w14:paraId="460A9BEB"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The Service Provider will offer service desk support for the following software products:</w:t>
      </w:r>
    </w:p>
    <w:p w14:paraId="206BB4CC"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Portal</w:t>
      </w:r>
    </w:p>
    <w:p w14:paraId="5F03C083"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Core</w:t>
      </w:r>
    </w:p>
    <w:p w14:paraId="2DFD4997"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Exams</w:t>
      </w:r>
    </w:p>
    <w:p w14:paraId="68FD0430"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Registrations</w:t>
      </w:r>
    </w:p>
    <w:p w14:paraId="4D969993"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Integrator</w:t>
      </w:r>
    </w:p>
    <w:p w14:paraId="258E8B13"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DataManager</w:t>
      </w:r>
    </w:p>
    <w:p w14:paraId="687A163E"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Dashboard</w:t>
      </w:r>
    </w:p>
    <w:p w14:paraId="2EB42729"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Monitoring</w:t>
      </w:r>
    </w:p>
    <w:p w14:paraId="504F132E"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Visualizer</w:t>
      </w:r>
    </w:p>
    <w:p w14:paraId="049FA9E6"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Classroom</w:t>
      </w:r>
    </w:p>
    <w:p w14:paraId="7C459C64"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Staffroom</w:t>
      </w:r>
    </w:p>
    <w:p w14:paraId="158D9F3E"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Survey</w:t>
      </w:r>
    </w:p>
    <w:p w14:paraId="7522CB30" w14:textId="77777777"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Scanner</w:t>
      </w:r>
    </w:p>
    <w:p w14:paraId="0B035728" w14:textId="21438E8B" w:rsidR="00B81D92" w:rsidRPr="0020543C" w:rsidRDefault="00B81D92" w:rsidP="00480775">
      <w:pPr>
        <w:pStyle w:val="ListParagraph"/>
        <w:numPr>
          <w:ilvl w:val="0"/>
          <w:numId w:val="7"/>
        </w:numPr>
        <w:spacing w:before="100" w:beforeAutospacing="1" w:after="100" w:afterAutospacing="1" w:line="240" w:lineRule="auto"/>
        <w:rPr>
          <w:sz w:val="20"/>
          <w:szCs w:val="20"/>
          <w:lang w:val="en-AU"/>
        </w:rPr>
      </w:pPr>
      <w:r w:rsidRPr="0020543C">
        <w:rPr>
          <w:sz w:val="20"/>
          <w:szCs w:val="20"/>
          <w:lang w:val="en-AU"/>
        </w:rPr>
        <w:t>OpenEMIS Guardian</w:t>
      </w:r>
    </w:p>
    <w:p w14:paraId="4C1D3E42"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3. Service Desk Hours of Operation</w:t>
      </w:r>
    </w:p>
    <w:p w14:paraId="78853711" w14:textId="77777777" w:rsidR="00F27638" w:rsidRDefault="00F27638" w:rsidP="00480775">
      <w:pPr>
        <w:spacing w:before="100" w:beforeAutospacing="1" w:after="100" w:afterAutospacing="1" w:line="240" w:lineRule="auto"/>
        <w:rPr>
          <w:sz w:val="20"/>
          <w:szCs w:val="20"/>
        </w:rPr>
      </w:pPr>
      <w:r w:rsidRPr="0020543C">
        <w:rPr>
          <w:sz w:val="20"/>
          <w:szCs w:val="20"/>
        </w:rPr>
        <w:t xml:space="preserve">The service desk is available 24 hours a day and 7 days a week. Clients can expect responses from Monday to Friday: 09:00-18:00 GMT+8, excluding Singapore public holidays. </w:t>
      </w:r>
    </w:p>
    <w:p w14:paraId="6F21501F"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4. Responsibilities</w:t>
      </w:r>
    </w:p>
    <w:p w14:paraId="52805787" w14:textId="77777777" w:rsidR="004D7C9F" w:rsidRPr="0020543C" w:rsidRDefault="004D7C9F" w:rsidP="00480775">
      <w:pPr>
        <w:spacing w:before="100" w:beforeAutospacing="1" w:after="100" w:afterAutospacing="1" w:line="240" w:lineRule="auto"/>
        <w:rPr>
          <w:sz w:val="20"/>
          <w:szCs w:val="20"/>
        </w:rPr>
      </w:pPr>
      <w:r w:rsidRPr="0020543C">
        <w:rPr>
          <w:sz w:val="20"/>
          <w:szCs w:val="20"/>
        </w:rPr>
        <w:t xml:space="preserve">The Service Provider agrees to provide the following services: </w:t>
      </w:r>
    </w:p>
    <w:p w14:paraId="44E05362" w14:textId="77777777" w:rsidR="00AA5CDD" w:rsidRDefault="004D7C9F" w:rsidP="00480775">
      <w:pPr>
        <w:pStyle w:val="ListParagraph"/>
        <w:numPr>
          <w:ilvl w:val="0"/>
          <w:numId w:val="8"/>
        </w:numPr>
        <w:spacing w:before="100" w:beforeAutospacing="1" w:after="100" w:afterAutospacing="1" w:line="240" w:lineRule="auto"/>
        <w:rPr>
          <w:sz w:val="20"/>
          <w:szCs w:val="20"/>
        </w:rPr>
      </w:pPr>
      <w:r w:rsidRPr="0020543C">
        <w:rPr>
          <w:sz w:val="20"/>
          <w:szCs w:val="20"/>
        </w:rPr>
        <w:t>Responding to support requests submitted by the Client in a timely manner</w:t>
      </w:r>
    </w:p>
    <w:p w14:paraId="76472951" w14:textId="77777777" w:rsidR="00AA5CDD" w:rsidRDefault="004D7C9F" w:rsidP="00480775">
      <w:pPr>
        <w:pStyle w:val="ListParagraph"/>
        <w:numPr>
          <w:ilvl w:val="0"/>
          <w:numId w:val="8"/>
        </w:numPr>
        <w:spacing w:before="100" w:beforeAutospacing="1" w:after="100" w:afterAutospacing="1" w:line="240" w:lineRule="auto"/>
        <w:rPr>
          <w:sz w:val="20"/>
          <w:szCs w:val="20"/>
        </w:rPr>
      </w:pPr>
      <w:r w:rsidRPr="0020543C">
        <w:rPr>
          <w:sz w:val="20"/>
          <w:szCs w:val="20"/>
        </w:rPr>
        <w:t>Diagnosing and troubleshooting reported issues with the software products</w:t>
      </w:r>
    </w:p>
    <w:p w14:paraId="20AAB774" w14:textId="2B49A97F" w:rsidR="004D7C9F" w:rsidRPr="0020543C" w:rsidRDefault="004D7C9F" w:rsidP="00480775">
      <w:pPr>
        <w:pStyle w:val="ListParagraph"/>
        <w:numPr>
          <w:ilvl w:val="0"/>
          <w:numId w:val="8"/>
        </w:numPr>
        <w:spacing w:before="100" w:beforeAutospacing="1" w:after="100" w:afterAutospacing="1" w:line="240" w:lineRule="auto"/>
        <w:rPr>
          <w:sz w:val="20"/>
          <w:szCs w:val="20"/>
        </w:rPr>
      </w:pPr>
      <w:r w:rsidRPr="0020543C">
        <w:rPr>
          <w:sz w:val="20"/>
          <w:szCs w:val="20"/>
        </w:rPr>
        <w:t>Providing guidance and solutions to software-related inquiries</w:t>
      </w:r>
    </w:p>
    <w:p w14:paraId="63745DB4" w14:textId="43F8410E" w:rsidR="00F27638" w:rsidRPr="0020543C" w:rsidRDefault="004D7C9F" w:rsidP="00480775">
      <w:pPr>
        <w:pStyle w:val="ListParagraph"/>
        <w:numPr>
          <w:ilvl w:val="0"/>
          <w:numId w:val="8"/>
        </w:numPr>
        <w:spacing w:before="100" w:beforeAutospacing="1" w:after="100" w:afterAutospacing="1" w:line="240" w:lineRule="auto"/>
        <w:rPr>
          <w:sz w:val="20"/>
          <w:szCs w:val="20"/>
        </w:rPr>
      </w:pPr>
      <w:r w:rsidRPr="0020543C">
        <w:rPr>
          <w:sz w:val="20"/>
          <w:szCs w:val="20"/>
        </w:rPr>
        <w:t>Keeping the Client informed about the status and progress of their support requests</w:t>
      </w:r>
    </w:p>
    <w:p w14:paraId="79A6CA3A" w14:textId="77777777" w:rsidR="004D7C9F" w:rsidRPr="0020543C" w:rsidRDefault="004D7C9F" w:rsidP="00480775">
      <w:pPr>
        <w:spacing w:before="100" w:beforeAutospacing="1" w:after="100" w:afterAutospacing="1" w:line="240" w:lineRule="auto"/>
        <w:rPr>
          <w:sz w:val="20"/>
          <w:szCs w:val="20"/>
        </w:rPr>
      </w:pPr>
      <w:r w:rsidRPr="0020543C">
        <w:rPr>
          <w:sz w:val="20"/>
          <w:szCs w:val="20"/>
        </w:rPr>
        <w:lastRenderedPageBreak/>
        <w:t xml:space="preserve">The Client agrees to provide the following: </w:t>
      </w:r>
    </w:p>
    <w:p w14:paraId="0EA90484" w14:textId="6B136B68" w:rsidR="004D7C9F" w:rsidRPr="0020543C" w:rsidRDefault="004D7C9F" w:rsidP="00480775">
      <w:pPr>
        <w:pStyle w:val="ListParagraph"/>
        <w:numPr>
          <w:ilvl w:val="0"/>
          <w:numId w:val="9"/>
        </w:numPr>
        <w:spacing w:before="100" w:beforeAutospacing="1" w:after="100" w:afterAutospacing="1" w:line="240" w:lineRule="auto"/>
        <w:rPr>
          <w:sz w:val="20"/>
          <w:szCs w:val="20"/>
        </w:rPr>
      </w:pPr>
      <w:r w:rsidRPr="0020543C">
        <w:rPr>
          <w:sz w:val="20"/>
          <w:szCs w:val="20"/>
        </w:rPr>
        <w:t>An accurate description of the issue. This could include screenshots, video, references to specific versions or pages in the software</w:t>
      </w:r>
    </w:p>
    <w:p w14:paraId="051EEFBC" w14:textId="190B2671" w:rsidR="004D7C9F" w:rsidRPr="0020543C" w:rsidRDefault="004D7C9F" w:rsidP="00480775">
      <w:pPr>
        <w:pStyle w:val="ListParagraph"/>
        <w:numPr>
          <w:ilvl w:val="0"/>
          <w:numId w:val="9"/>
        </w:numPr>
        <w:spacing w:before="100" w:beforeAutospacing="1" w:after="100" w:afterAutospacing="1" w:line="240" w:lineRule="auto"/>
        <w:rPr>
          <w:sz w:val="20"/>
          <w:szCs w:val="20"/>
        </w:rPr>
      </w:pPr>
      <w:r w:rsidRPr="0020543C">
        <w:rPr>
          <w:sz w:val="20"/>
          <w:szCs w:val="20"/>
        </w:rPr>
        <w:t>Timely feedback responding to questions and requests for additional information</w:t>
      </w:r>
    </w:p>
    <w:p w14:paraId="4EE95FE9" w14:textId="7467959D" w:rsidR="004D7C9F" w:rsidRPr="0020543C" w:rsidRDefault="004D7C9F" w:rsidP="00480775">
      <w:pPr>
        <w:spacing w:before="100" w:beforeAutospacing="1" w:after="100" w:afterAutospacing="1" w:line="240" w:lineRule="auto"/>
        <w:rPr>
          <w:sz w:val="20"/>
          <w:szCs w:val="20"/>
        </w:rPr>
      </w:pPr>
      <w:r w:rsidRPr="0020543C">
        <w:rPr>
          <w:sz w:val="20"/>
          <w:szCs w:val="20"/>
        </w:rPr>
        <w:t xml:space="preserve">The client acknowledges that the Service Provider may not be able to </w:t>
      </w:r>
      <w:r w:rsidR="00DF5CAF" w:rsidRPr="0020543C">
        <w:rPr>
          <w:sz w:val="20"/>
          <w:szCs w:val="20"/>
        </w:rPr>
        <w:t>fulfil</w:t>
      </w:r>
      <w:r w:rsidRPr="0020543C">
        <w:rPr>
          <w:sz w:val="20"/>
          <w:szCs w:val="20"/>
        </w:rPr>
        <w:t xml:space="preserve"> responsibilities under the SLA without timely cooperation from the Client. </w:t>
      </w:r>
    </w:p>
    <w:p w14:paraId="235E4685" w14:textId="3397D934" w:rsidR="00C271E8" w:rsidRPr="0020543C" w:rsidRDefault="00000000" w:rsidP="00480775">
      <w:pPr>
        <w:spacing w:before="100" w:beforeAutospacing="1" w:after="100" w:afterAutospacing="1" w:line="240" w:lineRule="auto"/>
        <w:rPr>
          <w:sz w:val="20"/>
          <w:szCs w:val="20"/>
        </w:rPr>
      </w:pPr>
      <w:r w:rsidRPr="0020543C">
        <w:rPr>
          <w:sz w:val="20"/>
          <w:szCs w:val="20"/>
        </w:rPr>
        <w:t>5. Response and Resolution Times</w:t>
      </w:r>
    </w:p>
    <w:p w14:paraId="50F209D5"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The Service Provider commits to the following response times: </w:t>
      </w:r>
    </w:p>
    <w:p w14:paraId="7070171A" w14:textId="252E8066" w:rsidR="005C3B61" w:rsidRPr="00C917DB" w:rsidRDefault="005C3B61" w:rsidP="00480775">
      <w:pPr>
        <w:pStyle w:val="ListParagraph"/>
        <w:numPr>
          <w:ilvl w:val="0"/>
          <w:numId w:val="10"/>
        </w:numPr>
        <w:spacing w:before="100" w:beforeAutospacing="1" w:after="100" w:afterAutospacing="1" w:line="240" w:lineRule="auto"/>
        <w:rPr>
          <w:sz w:val="20"/>
          <w:szCs w:val="20"/>
        </w:rPr>
      </w:pPr>
      <w:r w:rsidRPr="00C917DB">
        <w:rPr>
          <w:sz w:val="20"/>
          <w:szCs w:val="20"/>
        </w:rPr>
        <w:t xml:space="preserve">Blocker: 12 hours / 0.5 day </w:t>
      </w:r>
    </w:p>
    <w:p w14:paraId="173341C6" w14:textId="04008108" w:rsidR="005C3B61" w:rsidRPr="00C917DB" w:rsidRDefault="005C3B61" w:rsidP="00480775">
      <w:pPr>
        <w:pStyle w:val="ListParagraph"/>
        <w:numPr>
          <w:ilvl w:val="0"/>
          <w:numId w:val="10"/>
        </w:numPr>
        <w:spacing w:before="100" w:beforeAutospacing="1" w:after="100" w:afterAutospacing="1" w:line="240" w:lineRule="auto"/>
        <w:rPr>
          <w:sz w:val="20"/>
          <w:szCs w:val="20"/>
        </w:rPr>
      </w:pPr>
      <w:r w:rsidRPr="00C917DB">
        <w:rPr>
          <w:sz w:val="20"/>
          <w:szCs w:val="20"/>
        </w:rPr>
        <w:t xml:space="preserve">Critical: 24 hours / 1 day </w:t>
      </w:r>
    </w:p>
    <w:p w14:paraId="246F1030" w14:textId="2262B752" w:rsidR="005C3B61" w:rsidRPr="00C917DB" w:rsidRDefault="005C3B61" w:rsidP="00480775">
      <w:pPr>
        <w:pStyle w:val="ListParagraph"/>
        <w:numPr>
          <w:ilvl w:val="0"/>
          <w:numId w:val="10"/>
        </w:numPr>
        <w:spacing w:before="100" w:beforeAutospacing="1" w:after="100" w:afterAutospacing="1" w:line="240" w:lineRule="auto"/>
        <w:rPr>
          <w:sz w:val="20"/>
          <w:szCs w:val="20"/>
        </w:rPr>
      </w:pPr>
      <w:r w:rsidRPr="00C917DB">
        <w:rPr>
          <w:sz w:val="20"/>
          <w:szCs w:val="20"/>
        </w:rPr>
        <w:t xml:space="preserve">Major: 48 hours / 2 days </w:t>
      </w:r>
    </w:p>
    <w:p w14:paraId="53CCD14F" w14:textId="401F8D18" w:rsidR="005C3B61" w:rsidRPr="00C917DB" w:rsidRDefault="005C3B61" w:rsidP="00480775">
      <w:pPr>
        <w:pStyle w:val="ListParagraph"/>
        <w:numPr>
          <w:ilvl w:val="0"/>
          <w:numId w:val="10"/>
        </w:numPr>
        <w:spacing w:before="100" w:beforeAutospacing="1" w:after="100" w:afterAutospacing="1" w:line="240" w:lineRule="auto"/>
        <w:rPr>
          <w:sz w:val="20"/>
          <w:szCs w:val="20"/>
        </w:rPr>
      </w:pPr>
      <w:r w:rsidRPr="00C917DB">
        <w:rPr>
          <w:sz w:val="20"/>
          <w:szCs w:val="20"/>
        </w:rPr>
        <w:t xml:space="preserve">Trivial: 96 hours / 4 days </w:t>
      </w:r>
    </w:p>
    <w:p w14:paraId="7386B5AA"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Resolution time is dependent on the complexity of the issue. The Service Provider is committed to providing regular updates on expected time required to resolve each issue. </w:t>
      </w:r>
    </w:p>
    <w:p w14:paraId="11F41F2A"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Response and resolution times are calculated on the normal working days/hours of the Service Provider. See SLA Point 3. </w:t>
      </w:r>
    </w:p>
    <w:p w14:paraId="79762714"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6. Service Desk Channels</w:t>
      </w:r>
    </w:p>
    <w:p w14:paraId="421E425F"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The Service Provider will provide support through the following channels: </w:t>
      </w:r>
    </w:p>
    <w:p w14:paraId="1DE50590" w14:textId="27F33795" w:rsidR="005C3B61" w:rsidRPr="00802EEE" w:rsidRDefault="005C3B61" w:rsidP="00480775">
      <w:pPr>
        <w:pStyle w:val="ListParagraph"/>
        <w:numPr>
          <w:ilvl w:val="0"/>
          <w:numId w:val="11"/>
        </w:numPr>
        <w:spacing w:before="100" w:beforeAutospacing="1" w:after="100" w:afterAutospacing="1" w:line="240" w:lineRule="auto"/>
        <w:rPr>
          <w:sz w:val="20"/>
          <w:szCs w:val="20"/>
        </w:rPr>
      </w:pPr>
      <w:r w:rsidRPr="00802EEE">
        <w:rPr>
          <w:sz w:val="20"/>
          <w:szCs w:val="20"/>
        </w:rPr>
        <w:t xml:space="preserve">Online Ticketing System </w:t>
      </w:r>
    </w:p>
    <w:p w14:paraId="761330FD" w14:textId="38A825AC" w:rsidR="005C3B61" w:rsidRPr="00802EEE" w:rsidRDefault="005C3B61" w:rsidP="00480775">
      <w:pPr>
        <w:pStyle w:val="ListParagraph"/>
        <w:numPr>
          <w:ilvl w:val="0"/>
          <w:numId w:val="11"/>
        </w:numPr>
        <w:spacing w:before="100" w:beforeAutospacing="1" w:after="100" w:afterAutospacing="1" w:line="240" w:lineRule="auto"/>
        <w:rPr>
          <w:sz w:val="20"/>
          <w:szCs w:val="20"/>
        </w:rPr>
      </w:pPr>
      <w:r w:rsidRPr="00802EEE">
        <w:rPr>
          <w:sz w:val="20"/>
          <w:szCs w:val="20"/>
        </w:rPr>
        <w:t xml:space="preserve">Online Video conferencing platform  (emergencies) </w:t>
      </w:r>
    </w:p>
    <w:p w14:paraId="594B4548"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The Service Provider will not provide support through the following channels: </w:t>
      </w:r>
    </w:p>
    <w:p w14:paraId="37ADC03C" w14:textId="1BCBE312" w:rsidR="005C3B61" w:rsidRPr="00802EEE" w:rsidRDefault="005C3B61" w:rsidP="00480775">
      <w:pPr>
        <w:pStyle w:val="ListParagraph"/>
        <w:numPr>
          <w:ilvl w:val="0"/>
          <w:numId w:val="12"/>
        </w:numPr>
        <w:spacing w:before="100" w:beforeAutospacing="1" w:after="100" w:afterAutospacing="1" w:line="240" w:lineRule="auto"/>
        <w:rPr>
          <w:sz w:val="20"/>
          <w:szCs w:val="20"/>
        </w:rPr>
      </w:pPr>
      <w:r w:rsidRPr="00802EEE">
        <w:rPr>
          <w:sz w:val="20"/>
          <w:szCs w:val="20"/>
        </w:rPr>
        <w:t xml:space="preserve">Email </w:t>
      </w:r>
    </w:p>
    <w:p w14:paraId="1FB498E9" w14:textId="77D2EA80" w:rsidR="005C3B61" w:rsidRPr="00802EEE" w:rsidRDefault="005C3B61" w:rsidP="00480775">
      <w:pPr>
        <w:pStyle w:val="ListParagraph"/>
        <w:numPr>
          <w:ilvl w:val="0"/>
          <w:numId w:val="12"/>
        </w:numPr>
        <w:spacing w:before="100" w:beforeAutospacing="1" w:after="100" w:afterAutospacing="1" w:line="240" w:lineRule="auto"/>
        <w:rPr>
          <w:sz w:val="20"/>
          <w:szCs w:val="20"/>
        </w:rPr>
      </w:pPr>
      <w:r w:rsidRPr="00802EEE">
        <w:rPr>
          <w:sz w:val="20"/>
          <w:szCs w:val="20"/>
        </w:rPr>
        <w:t xml:space="preserve">Social media platforms </w:t>
      </w:r>
    </w:p>
    <w:p w14:paraId="6E5AF7B0" w14:textId="717B1CD8" w:rsidR="005C3B61" w:rsidRDefault="005C3B61" w:rsidP="00480775">
      <w:pPr>
        <w:pStyle w:val="ListParagraph"/>
        <w:numPr>
          <w:ilvl w:val="0"/>
          <w:numId w:val="12"/>
        </w:numPr>
        <w:spacing w:before="100" w:beforeAutospacing="1" w:after="100" w:afterAutospacing="1" w:line="240" w:lineRule="auto"/>
        <w:rPr>
          <w:sz w:val="20"/>
          <w:szCs w:val="20"/>
        </w:rPr>
      </w:pPr>
      <w:r w:rsidRPr="00802EEE">
        <w:rPr>
          <w:sz w:val="20"/>
          <w:szCs w:val="20"/>
        </w:rPr>
        <w:t xml:space="preserve">Telephone </w:t>
      </w:r>
    </w:p>
    <w:p w14:paraId="492DF360" w14:textId="0DBAEE64" w:rsidR="007F2DB1" w:rsidRPr="00802EEE" w:rsidRDefault="007F2DB1" w:rsidP="00480775">
      <w:pPr>
        <w:pStyle w:val="ListParagraph"/>
        <w:numPr>
          <w:ilvl w:val="0"/>
          <w:numId w:val="12"/>
        </w:numPr>
        <w:spacing w:before="100" w:beforeAutospacing="1" w:after="100" w:afterAutospacing="1" w:line="240" w:lineRule="auto"/>
        <w:rPr>
          <w:sz w:val="20"/>
          <w:szCs w:val="20"/>
        </w:rPr>
      </w:pPr>
      <w:r>
        <w:rPr>
          <w:sz w:val="20"/>
          <w:szCs w:val="20"/>
        </w:rPr>
        <w:t>WhatsApp</w:t>
      </w:r>
    </w:p>
    <w:p w14:paraId="593AFDD2"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7. Escalation Procedures</w:t>
      </w:r>
    </w:p>
    <w:p w14:paraId="74DBD011"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In the event that an issue cannot be resolved within the required time, the following escalation procedures will be followed: </w:t>
      </w:r>
    </w:p>
    <w:p w14:paraId="2FCA23CC" w14:textId="4FC02F9F" w:rsidR="005C3B61" w:rsidRPr="00802EEE" w:rsidRDefault="005C3B61" w:rsidP="00480775">
      <w:pPr>
        <w:pStyle w:val="ListParagraph"/>
        <w:numPr>
          <w:ilvl w:val="0"/>
          <w:numId w:val="13"/>
        </w:numPr>
        <w:spacing w:before="100" w:beforeAutospacing="1" w:after="100" w:afterAutospacing="1" w:line="240" w:lineRule="auto"/>
        <w:rPr>
          <w:sz w:val="20"/>
          <w:szCs w:val="20"/>
        </w:rPr>
      </w:pPr>
      <w:r w:rsidRPr="00802EEE">
        <w:rPr>
          <w:sz w:val="20"/>
          <w:szCs w:val="20"/>
        </w:rPr>
        <w:t>Level 1: OpenEMIS Lab (</w:t>
      </w:r>
      <w:r w:rsidR="00DF5CAF">
        <w:rPr>
          <w:sz w:val="20"/>
          <w:szCs w:val="20"/>
        </w:rPr>
        <w:t>Google Chat</w:t>
      </w:r>
      <w:r w:rsidRPr="00802EEE">
        <w:rPr>
          <w:sz w:val="20"/>
          <w:szCs w:val="20"/>
        </w:rPr>
        <w:t xml:space="preserve">: </w:t>
      </w:r>
      <w:r w:rsidR="00DF5CAF">
        <w:rPr>
          <w:sz w:val="20"/>
          <w:szCs w:val="20"/>
        </w:rPr>
        <w:t>support@</w:t>
      </w:r>
      <w:r w:rsidRPr="00802EEE">
        <w:rPr>
          <w:sz w:val="20"/>
          <w:szCs w:val="20"/>
        </w:rPr>
        <w:t>openemis</w:t>
      </w:r>
      <w:r w:rsidR="00DF5CAF">
        <w:rPr>
          <w:sz w:val="20"/>
          <w:szCs w:val="20"/>
        </w:rPr>
        <w:t>.org</w:t>
      </w:r>
      <w:r w:rsidRPr="00802EEE">
        <w:rPr>
          <w:sz w:val="20"/>
          <w:szCs w:val="20"/>
        </w:rPr>
        <w:t xml:space="preserve">) </w:t>
      </w:r>
    </w:p>
    <w:p w14:paraId="78CC1A41" w14:textId="2FD0BCB5" w:rsidR="005C3B61" w:rsidRPr="00802EEE" w:rsidRDefault="005C3B61" w:rsidP="00480775">
      <w:pPr>
        <w:pStyle w:val="ListParagraph"/>
        <w:numPr>
          <w:ilvl w:val="0"/>
          <w:numId w:val="13"/>
        </w:numPr>
        <w:spacing w:before="100" w:beforeAutospacing="1" w:after="100" w:afterAutospacing="1" w:line="240" w:lineRule="auto"/>
        <w:rPr>
          <w:sz w:val="20"/>
          <w:szCs w:val="20"/>
        </w:rPr>
      </w:pPr>
      <w:r w:rsidRPr="00802EEE">
        <w:rPr>
          <w:sz w:val="20"/>
          <w:szCs w:val="20"/>
        </w:rPr>
        <w:lastRenderedPageBreak/>
        <w:t xml:space="preserve">Level 2: OpenEMIS IT Director (Email: kturnbull@openemis.org) </w:t>
      </w:r>
    </w:p>
    <w:p w14:paraId="4AD34933"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8. Service Level Reporting</w:t>
      </w:r>
    </w:p>
    <w:p w14:paraId="02870C1F"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Service Desk Reports, including monthly summaries of support requests and status, are available upon request at any time during the period of service. </w:t>
      </w:r>
    </w:p>
    <w:p w14:paraId="2EE7ABE2"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9. Maintenance and Updates</w:t>
      </w:r>
    </w:p>
    <w:p w14:paraId="4935BB20"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The Service Provider may schedule maintenance and updates to the software products. Advance notice will be given, and efforts will be made to minimize disruption to the Client's operations. Clients are given the option to update software applications when new versions are released. This is not mandatory and it is done only at the discretion and endorsement from the client. </w:t>
      </w:r>
    </w:p>
    <w:p w14:paraId="5B8917F5"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10. Confidentiality and Data Security</w:t>
      </w:r>
    </w:p>
    <w:p w14:paraId="44437D9F"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The Service Provider will maintain the confidentiality and security of all information provided by the Client. Data shared during the support process will be handled in accordance with relevant data protection laws and regulations. </w:t>
      </w:r>
    </w:p>
    <w:p w14:paraId="149FB57B"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11. Service Fees</w:t>
      </w:r>
    </w:p>
    <w:p w14:paraId="08BF26BD"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There is a standard annual service fee for the service desk support subscription. The service fees are payable in advance, unless alternative arrangements have been negotiated and agreed with the Service Provider. </w:t>
      </w:r>
    </w:p>
    <w:p w14:paraId="3AE73CE2"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12. Termination of Agreement</w:t>
      </w:r>
    </w:p>
    <w:p w14:paraId="67842D5C" w14:textId="77777777" w:rsidR="005C3B61" w:rsidRPr="0020543C" w:rsidRDefault="005C3B61" w:rsidP="00480775">
      <w:pPr>
        <w:spacing w:before="100" w:beforeAutospacing="1" w:after="100" w:afterAutospacing="1" w:line="240" w:lineRule="auto"/>
        <w:rPr>
          <w:sz w:val="20"/>
          <w:szCs w:val="20"/>
        </w:rPr>
      </w:pPr>
      <w:r w:rsidRPr="0020543C">
        <w:rPr>
          <w:sz w:val="20"/>
          <w:szCs w:val="20"/>
        </w:rPr>
        <w:t xml:space="preserve">Either party may terminate this SLA with 30 days' written notice if the other party fails to meet the terms outlined herein. This service level agreement does not have penalties. </w:t>
      </w:r>
    </w:p>
    <w:p w14:paraId="25EE1D8F"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13. Amendments</w:t>
      </w:r>
    </w:p>
    <w:p w14:paraId="53D10E85" w14:textId="77777777" w:rsidR="0058307D" w:rsidRPr="0020543C" w:rsidRDefault="0058307D" w:rsidP="00480775">
      <w:pPr>
        <w:spacing w:before="100" w:beforeAutospacing="1" w:after="100" w:afterAutospacing="1" w:line="240" w:lineRule="auto"/>
        <w:rPr>
          <w:sz w:val="20"/>
          <w:szCs w:val="20"/>
        </w:rPr>
      </w:pPr>
      <w:r w:rsidRPr="0020543C">
        <w:rPr>
          <w:sz w:val="20"/>
          <w:szCs w:val="20"/>
        </w:rPr>
        <w:t xml:space="preserve">Any changes or amendments to this SLA must be agreed upon in writing by both parties </w:t>
      </w:r>
    </w:p>
    <w:p w14:paraId="4D9799D9" w14:textId="106D7FEB" w:rsidR="00C271E8" w:rsidRPr="0020543C" w:rsidRDefault="00000000" w:rsidP="00480775">
      <w:pPr>
        <w:spacing w:before="100" w:beforeAutospacing="1" w:after="100" w:afterAutospacing="1" w:line="240" w:lineRule="auto"/>
        <w:rPr>
          <w:sz w:val="20"/>
          <w:szCs w:val="20"/>
        </w:rPr>
      </w:pPr>
      <w:r w:rsidRPr="0020543C">
        <w:rPr>
          <w:sz w:val="20"/>
          <w:szCs w:val="20"/>
        </w:rPr>
        <w:t>Signatures:</w:t>
      </w:r>
    </w:p>
    <w:tbl>
      <w:tblPr>
        <w:tblStyle w:val="a"/>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485"/>
      </w:tblGrid>
      <w:tr w:rsidR="00C271E8" w:rsidRPr="0020543C" w14:paraId="16413B73" w14:textId="77777777" w:rsidTr="00802EEE">
        <w:trPr>
          <w:cantSplit/>
          <w:trHeight w:val="97"/>
        </w:trPr>
        <w:tc>
          <w:tcPr>
            <w:tcW w:w="4485" w:type="dxa"/>
            <w:shd w:val="clear" w:color="auto" w:fill="auto"/>
            <w:tcMar>
              <w:top w:w="100" w:type="dxa"/>
              <w:left w:w="100" w:type="dxa"/>
              <w:bottom w:w="100" w:type="dxa"/>
              <w:right w:w="100" w:type="dxa"/>
            </w:tcMar>
            <w:vAlign w:val="center"/>
          </w:tcPr>
          <w:p w14:paraId="4BF60521" w14:textId="77777777" w:rsidR="00C271E8" w:rsidRPr="0020543C" w:rsidRDefault="00C271E8" w:rsidP="00480775">
            <w:pPr>
              <w:spacing w:before="100" w:beforeAutospacing="1" w:after="100" w:afterAutospacing="1" w:line="240" w:lineRule="auto"/>
              <w:rPr>
                <w:sz w:val="20"/>
                <w:szCs w:val="20"/>
              </w:rPr>
            </w:pPr>
          </w:p>
        </w:tc>
        <w:tc>
          <w:tcPr>
            <w:tcW w:w="4485" w:type="dxa"/>
            <w:shd w:val="clear" w:color="auto" w:fill="auto"/>
            <w:tcMar>
              <w:top w:w="100" w:type="dxa"/>
              <w:left w:w="100" w:type="dxa"/>
              <w:bottom w:w="100" w:type="dxa"/>
              <w:right w:w="100" w:type="dxa"/>
            </w:tcMar>
            <w:vAlign w:val="center"/>
          </w:tcPr>
          <w:p w14:paraId="382FA106" w14:textId="77777777" w:rsidR="00C271E8" w:rsidRPr="0020543C" w:rsidRDefault="00C271E8" w:rsidP="00480775">
            <w:pPr>
              <w:spacing w:before="100" w:beforeAutospacing="1" w:after="100" w:afterAutospacing="1" w:line="240" w:lineRule="auto"/>
              <w:rPr>
                <w:sz w:val="20"/>
                <w:szCs w:val="20"/>
              </w:rPr>
            </w:pPr>
          </w:p>
        </w:tc>
      </w:tr>
      <w:tr w:rsidR="00C271E8" w:rsidRPr="0020543C" w14:paraId="7EFBC070" w14:textId="77777777" w:rsidTr="00462899">
        <w:trPr>
          <w:cantSplit/>
          <w:trHeight w:val="14"/>
        </w:trPr>
        <w:tc>
          <w:tcPr>
            <w:tcW w:w="4485" w:type="dxa"/>
            <w:shd w:val="clear" w:color="auto" w:fill="EFEFEF"/>
            <w:tcMar>
              <w:top w:w="99" w:type="dxa"/>
              <w:left w:w="99" w:type="dxa"/>
              <w:bottom w:w="99" w:type="dxa"/>
              <w:right w:w="99" w:type="dxa"/>
            </w:tcMar>
            <w:vAlign w:val="center"/>
          </w:tcPr>
          <w:p w14:paraId="5F925D34"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Authorized Signature</w:t>
            </w:r>
          </w:p>
        </w:tc>
        <w:tc>
          <w:tcPr>
            <w:tcW w:w="4485" w:type="dxa"/>
            <w:shd w:val="clear" w:color="auto" w:fill="EFEFEF"/>
            <w:tcMar>
              <w:top w:w="99" w:type="dxa"/>
              <w:left w:w="99" w:type="dxa"/>
              <w:bottom w:w="99" w:type="dxa"/>
              <w:right w:w="99" w:type="dxa"/>
            </w:tcMar>
            <w:vAlign w:val="center"/>
          </w:tcPr>
          <w:p w14:paraId="0D0E7719"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Authorized Signature</w:t>
            </w:r>
          </w:p>
        </w:tc>
      </w:tr>
      <w:tr w:rsidR="00C271E8" w:rsidRPr="0020543C" w14:paraId="70B10A3B" w14:textId="77777777" w:rsidTr="00462899">
        <w:trPr>
          <w:cantSplit/>
          <w:trHeight w:val="14"/>
        </w:trPr>
        <w:tc>
          <w:tcPr>
            <w:tcW w:w="4485" w:type="dxa"/>
            <w:shd w:val="clear" w:color="auto" w:fill="auto"/>
            <w:tcMar>
              <w:top w:w="99" w:type="dxa"/>
              <w:left w:w="99" w:type="dxa"/>
              <w:bottom w:w="99" w:type="dxa"/>
              <w:right w:w="99" w:type="dxa"/>
            </w:tcMar>
            <w:vAlign w:val="center"/>
          </w:tcPr>
          <w:p w14:paraId="1B127809" w14:textId="77777777" w:rsidR="00C271E8" w:rsidRPr="0020543C" w:rsidRDefault="00C271E8" w:rsidP="00480775">
            <w:pPr>
              <w:spacing w:before="100" w:beforeAutospacing="1" w:after="100" w:afterAutospacing="1" w:line="240" w:lineRule="auto"/>
              <w:rPr>
                <w:sz w:val="20"/>
                <w:szCs w:val="20"/>
              </w:rPr>
            </w:pPr>
          </w:p>
        </w:tc>
        <w:tc>
          <w:tcPr>
            <w:tcW w:w="4485" w:type="dxa"/>
            <w:shd w:val="clear" w:color="auto" w:fill="auto"/>
            <w:tcMar>
              <w:top w:w="99" w:type="dxa"/>
              <w:left w:w="99" w:type="dxa"/>
              <w:bottom w:w="99" w:type="dxa"/>
              <w:right w:w="99" w:type="dxa"/>
            </w:tcMar>
            <w:vAlign w:val="center"/>
          </w:tcPr>
          <w:p w14:paraId="2E93A1C0" w14:textId="77777777" w:rsidR="00C271E8" w:rsidRPr="0020543C" w:rsidRDefault="00C271E8" w:rsidP="00480775">
            <w:pPr>
              <w:spacing w:before="100" w:beforeAutospacing="1" w:after="100" w:afterAutospacing="1" w:line="240" w:lineRule="auto"/>
              <w:rPr>
                <w:sz w:val="20"/>
                <w:szCs w:val="20"/>
              </w:rPr>
            </w:pPr>
          </w:p>
        </w:tc>
      </w:tr>
      <w:tr w:rsidR="00C271E8" w:rsidRPr="0020543C" w14:paraId="6467E0BE" w14:textId="77777777" w:rsidTr="00462899">
        <w:trPr>
          <w:cantSplit/>
          <w:trHeight w:val="14"/>
        </w:trPr>
        <w:tc>
          <w:tcPr>
            <w:tcW w:w="4485" w:type="dxa"/>
            <w:shd w:val="clear" w:color="auto" w:fill="EFEFEF"/>
            <w:tcMar>
              <w:top w:w="99" w:type="dxa"/>
              <w:left w:w="99" w:type="dxa"/>
              <w:bottom w:w="99" w:type="dxa"/>
              <w:right w:w="99" w:type="dxa"/>
            </w:tcMar>
            <w:vAlign w:val="center"/>
          </w:tcPr>
          <w:p w14:paraId="52E25E36"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Date</w:t>
            </w:r>
          </w:p>
        </w:tc>
        <w:tc>
          <w:tcPr>
            <w:tcW w:w="4485" w:type="dxa"/>
            <w:shd w:val="clear" w:color="auto" w:fill="EFEFEF"/>
            <w:tcMar>
              <w:top w:w="99" w:type="dxa"/>
              <w:left w:w="99" w:type="dxa"/>
              <w:bottom w:w="99" w:type="dxa"/>
              <w:right w:w="99" w:type="dxa"/>
            </w:tcMar>
            <w:vAlign w:val="center"/>
          </w:tcPr>
          <w:p w14:paraId="5145234B"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Date</w:t>
            </w:r>
          </w:p>
        </w:tc>
      </w:tr>
      <w:tr w:rsidR="00C271E8" w:rsidRPr="0020543C" w14:paraId="7E917484" w14:textId="77777777" w:rsidTr="00462899">
        <w:trPr>
          <w:cantSplit/>
          <w:trHeight w:val="14"/>
        </w:trPr>
        <w:tc>
          <w:tcPr>
            <w:tcW w:w="4485" w:type="dxa"/>
            <w:shd w:val="clear" w:color="auto" w:fill="auto"/>
            <w:tcMar>
              <w:top w:w="99" w:type="dxa"/>
              <w:left w:w="99" w:type="dxa"/>
              <w:bottom w:w="99" w:type="dxa"/>
              <w:right w:w="99" w:type="dxa"/>
            </w:tcMar>
            <w:vAlign w:val="center"/>
          </w:tcPr>
          <w:p w14:paraId="0025B377" w14:textId="77777777" w:rsidR="00C271E8" w:rsidRPr="0020543C" w:rsidRDefault="00C271E8" w:rsidP="00480775">
            <w:pPr>
              <w:spacing w:before="100" w:beforeAutospacing="1" w:after="100" w:afterAutospacing="1" w:line="240" w:lineRule="auto"/>
              <w:rPr>
                <w:sz w:val="20"/>
                <w:szCs w:val="20"/>
              </w:rPr>
            </w:pPr>
          </w:p>
        </w:tc>
        <w:tc>
          <w:tcPr>
            <w:tcW w:w="4485" w:type="dxa"/>
            <w:shd w:val="clear" w:color="auto" w:fill="auto"/>
            <w:tcMar>
              <w:top w:w="99" w:type="dxa"/>
              <w:left w:w="99" w:type="dxa"/>
              <w:bottom w:w="99" w:type="dxa"/>
              <w:right w:w="99" w:type="dxa"/>
            </w:tcMar>
            <w:vAlign w:val="center"/>
          </w:tcPr>
          <w:p w14:paraId="416298EC" w14:textId="77777777" w:rsidR="00C271E8" w:rsidRPr="0020543C" w:rsidRDefault="00C271E8" w:rsidP="00480775">
            <w:pPr>
              <w:spacing w:before="100" w:beforeAutospacing="1" w:after="100" w:afterAutospacing="1" w:line="240" w:lineRule="auto"/>
              <w:rPr>
                <w:sz w:val="20"/>
                <w:szCs w:val="20"/>
              </w:rPr>
            </w:pPr>
          </w:p>
        </w:tc>
      </w:tr>
      <w:tr w:rsidR="00C271E8" w:rsidRPr="0020543C" w14:paraId="56D459DC" w14:textId="77777777" w:rsidTr="00462899">
        <w:trPr>
          <w:cantSplit/>
          <w:trHeight w:val="14"/>
        </w:trPr>
        <w:tc>
          <w:tcPr>
            <w:tcW w:w="4485" w:type="dxa"/>
            <w:shd w:val="clear" w:color="auto" w:fill="EFEFEF"/>
            <w:tcMar>
              <w:top w:w="99" w:type="dxa"/>
              <w:left w:w="99" w:type="dxa"/>
              <w:bottom w:w="99" w:type="dxa"/>
              <w:right w:w="99" w:type="dxa"/>
            </w:tcMar>
            <w:vAlign w:val="center"/>
          </w:tcPr>
          <w:p w14:paraId="2D2FF1ED"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Authorized Client Representative</w:t>
            </w:r>
          </w:p>
        </w:tc>
        <w:tc>
          <w:tcPr>
            <w:tcW w:w="4485" w:type="dxa"/>
            <w:shd w:val="clear" w:color="auto" w:fill="EFEFEF"/>
            <w:tcMar>
              <w:top w:w="99" w:type="dxa"/>
              <w:left w:w="99" w:type="dxa"/>
              <w:bottom w:w="99" w:type="dxa"/>
              <w:right w:w="99" w:type="dxa"/>
            </w:tcMar>
            <w:vAlign w:val="center"/>
          </w:tcPr>
          <w:p w14:paraId="2360E23F"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Authorized Service Provider Representative</w:t>
            </w:r>
          </w:p>
        </w:tc>
      </w:tr>
      <w:tr w:rsidR="00C271E8" w:rsidRPr="0020543C" w14:paraId="561915D5" w14:textId="77777777" w:rsidTr="00462899">
        <w:trPr>
          <w:cantSplit/>
          <w:trHeight w:val="14"/>
        </w:trPr>
        <w:tc>
          <w:tcPr>
            <w:tcW w:w="4485" w:type="dxa"/>
            <w:shd w:val="clear" w:color="auto" w:fill="auto"/>
            <w:tcMar>
              <w:top w:w="99" w:type="dxa"/>
              <w:left w:w="99" w:type="dxa"/>
              <w:bottom w:w="99" w:type="dxa"/>
              <w:right w:w="99" w:type="dxa"/>
            </w:tcMar>
            <w:vAlign w:val="center"/>
          </w:tcPr>
          <w:p w14:paraId="2B8837FF" w14:textId="77777777" w:rsidR="00C271E8" w:rsidRPr="0020543C" w:rsidRDefault="00C271E8" w:rsidP="00480775">
            <w:pPr>
              <w:spacing w:before="100" w:beforeAutospacing="1" w:after="100" w:afterAutospacing="1" w:line="240" w:lineRule="auto"/>
              <w:rPr>
                <w:sz w:val="20"/>
                <w:szCs w:val="20"/>
              </w:rPr>
            </w:pPr>
          </w:p>
        </w:tc>
        <w:tc>
          <w:tcPr>
            <w:tcW w:w="4485" w:type="dxa"/>
            <w:shd w:val="clear" w:color="auto" w:fill="auto"/>
            <w:tcMar>
              <w:top w:w="99" w:type="dxa"/>
              <w:left w:w="99" w:type="dxa"/>
              <w:bottom w:w="99" w:type="dxa"/>
              <w:right w:w="99" w:type="dxa"/>
            </w:tcMar>
            <w:vAlign w:val="center"/>
          </w:tcPr>
          <w:p w14:paraId="23D8FAC5" w14:textId="5EF653DE" w:rsidR="00C271E8" w:rsidRPr="0020543C" w:rsidRDefault="00C271E8" w:rsidP="00480775">
            <w:pPr>
              <w:spacing w:before="100" w:beforeAutospacing="1" w:after="100" w:afterAutospacing="1" w:line="240" w:lineRule="auto"/>
              <w:rPr>
                <w:sz w:val="20"/>
                <w:szCs w:val="20"/>
              </w:rPr>
            </w:pPr>
          </w:p>
        </w:tc>
      </w:tr>
      <w:tr w:rsidR="00C271E8" w:rsidRPr="0020543C" w14:paraId="0E492804" w14:textId="77777777" w:rsidTr="00862EAC">
        <w:trPr>
          <w:cantSplit/>
          <w:trHeight w:val="26"/>
        </w:trPr>
        <w:tc>
          <w:tcPr>
            <w:tcW w:w="4485" w:type="dxa"/>
            <w:shd w:val="clear" w:color="auto" w:fill="EFEFEF"/>
            <w:tcMar>
              <w:top w:w="99" w:type="dxa"/>
              <w:left w:w="99" w:type="dxa"/>
              <w:bottom w:w="99" w:type="dxa"/>
              <w:right w:w="99" w:type="dxa"/>
            </w:tcMar>
            <w:vAlign w:val="center"/>
          </w:tcPr>
          <w:p w14:paraId="1B67640C"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Client Organization</w:t>
            </w:r>
          </w:p>
        </w:tc>
        <w:tc>
          <w:tcPr>
            <w:tcW w:w="4485" w:type="dxa"/>
            <w:shd w:val="clear" w:color="auto" w:fill="EFEFEF"/>
            <w:tcMar>
              <w:top w:w="99" w:type="dxa"/>
              <w:left w:w="99" w:type="dxa"/>
              <w:bottom w:w="99" w:type="dxa"/>
              <w:right w:w="99" w:type="dxa"/>
            </w:tcMar>
            <w:vAlign w:val="center"/>
          </w:tcPr>
          <w:p w14:paraId="6875E7C4" w14:textId="77777777" w:rsidR="00C271E8" w:rsidRPr="0020543C" w:rsidRDefault="00000000" w:rsidP="00480775">
            <w:pPr>
              <w:spacing w:before="100" w:beforeAutospacing="1" w:after="100" w:afterAutospacing="1" w:line="240" w:lineRule="auto"/>
              <w:rPr>
                <w:sz w:val="20"/>
                <w:szCs w:val="20"/>
              </w:rPr>
            </w:pPr>
            <w:r w:rsidRPr="0020543C">
              <w:rPr>
                <w:sz w:val="20"/>
                <w:szCs w:val="20"/>
              </w:rPr>
              <w:t>Service Provider Organization</w:t>
            </w:r>
          </w:p>
        </w:tc>
      </w:tr>
    </w:tbl>
    <w:p w14:paraId="2790E4D1" w14:textId="77777777" w:rsidR="00C271E8" w:rsidRPr="0020543C" w:rsidRDefault="00C271E8" w:rsidP="00480775">
      <w:pPr>
        <w:spacing w:before="100" w:beforeAutospacing="1" w:after="100" w:afterAutospacing="1" w:line="240" w:lineRule="auto"/>
        <w:rPr>
          <w:sz w:val="20"/>
          <w:szCs w:val="20"/>
        </w:rPr>
      </w:pPr>
    </w:p>
    <w:sectPr w:rsidR="00C271E8" w:rsidRPr="0020543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C749" w14:textId="77777777" w:rsidR="00677228" w:rsidRDefault="00677228" w:rsidP="0020543C">
      <w:r>
        <w:separator/>
      </w:r>
    </w:p>
  </w:endnote>
  <w:endnote w:type="continuationSeparator" w:id="0">
    <w:p w14:paraId="3CAA4DAF" w14:textId="77777777" w:rsidR="00677228" w:rsidRDefault="00677228" w:rsidP="0020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701"/>
      <w:gridCol w:w="3685"/>
    </w:tblGrid>
    <w:tr w:rsidR="006047E8" w:rsidRPr="00AA5CDD" w14:paraId="0DDDEE1C" w14:textId="77777777" w:rsidTr="004D63FF">
      <w:tc>
        <w:tcPr>
          <w:tcW w:w="3681" w:type="dxa"/>
        </w:tcPr>
        <w:p w14:paraId="782FE38D" w14:textId="6027F04C" w:rsidR="006047E8" w:rsidRPr="00AA5CDD" w:rsidRDefault="006047E8" w:rsidP="00FA74C1">
          <w:pPr>
            <w:pStyle w:val="Footer"/>
            <w:spacing w:before="0" w:after="0"/>
            <w:rPr>
              <w:sz w:val="16"/>
              <w:szCs w:val="16"/>
            </w:rPr>
          </w:pPr>
        </w:p>
      </w:tc>
      <w:tc>
        <w:tcPr>
          <w:tcW w:w="1701" w:type="dxa"/>
        </w:tcPr>
        <w:p w14:paraId="603993C7" w14:textId="77777777" w:rsidR="006047E8" w:rsidRPr="00AA5CDD" w:rsidRDefault="006047E8" w:rsidP="00FA74C1">
          <w:pPr>
            <w:pStyle w:val="Footer"/>
            <w:spacing w:before="0" w:after="0"/>
            <w:jc w:val="center"/>
            <w:rPr>
              <w:sz w:val="16"/>
              <w:szCs w:val="16"/>
            </w:rPr>
          </w:pPr>
          <w:r w:rsidRPr="00AA5CDD">
            <w:rPr>
              <w:sz w:val="16"/>
              <w:szCs w:val="16"/>
            </w:rPr>
            <w:t xml:space="preserve">Page </w:t>
          </w:r>
          <w:r w:rsidRPr="00AA5CDD">
            <w:rPr>
              <w:sz w:val="16"/>
              <w:szCs w:val="16"/>
            </w:rPr>
            <w:fldChar w:fldCharType="begin"/>
          </w:r>
          <w:r w:rsidRPr="00AA5CDD">
            <w:rPr>
              <w:sz w:val="16"/>
              <w:szCs w:val="16"/>
            </w:rPr>
            <w:instrText xml:space="preserve"> PAGE </w:instrText>
          </w:r>
          <w:r w:rsidRPr="00AA5CDD">
            <w:rPr>
              <w:sz w:val="16"/>
              <w:szCs w:val="16"/>
            </w:rPr>
            <w:fldChar w:fldCharType="separate"/>
          </w:r>
          <w:r w:rsidRPr="00AA5CDD">
            <w:rPr>
              <w:sz w:val="16"/>
              <w:szCs w:val="16"/>
            </w:rPr>
            <w:t>1</w:t>
          </w:r>
          <w:r w:rsidRPr="00AA5CDD">
            <w:rPr>
              <w:sz w:val="16"/>
              <w:szCs w:val="16"/>
            </w:rPr>
            <w:fldChar w:fldCharType="end"/>
          </w:r>
          <w:r w:rsidRPr="00AA5CDD">
            <w:rPr>
              <w:sz w:val="16"/>
              <w:szCs w:val="16"/>
            </w:rPr>
            <w:t xml:space="preserve"> of </w:t>
          </w:r>
          <w:r w:rsidRPr="00AA5CDD">
            <w:rPr>
              <w:sz w:val="16"/>
              <w:szCs w:val="16"/>
            </w:rPr>
            <w:fldChar w:fldCharType="begin"/>
          </w:r>
          <w:r w:rsidRPr="00AA5CDD">
            <w:rPr>
              <w:sz w:val="16"/>
              <w:szCs w:val="16"/>
            </w:rPr>
            <w:instrText xml:space="preserve"> NUMPAGES </w:instrText>
          </w:r>
          <w:r w:rsidRPr="00AA5CDD">
            <w:rPr>
              <w:sz w:val="16"/>
              <w:szCs w:val="16"/>
            </w:rPr>
            <w:fldChar w:fldCharType="separate"/>
          </w:r>
          <w:r w:rsidRPr="00AA5CDD">
            <w:rPr>
              <w:sz w:val="16"/>
              <w:szCs w:val="16"/>
            </w:rPr>
            <w:t>1</w:t>
          </w:r>
          <w:r w:rsidRPr="00AA5CDD">
            <w:rPr>
              <w:sz w:val="16"/>
              <w:szCs w:val="16"/>
            </w:rPr>
            <w:fldChar w:fldCharType="end"/>
          </w:r>
        </w:p>
      </w:tc>
      <w:tc>
        <w:tcPr>
          <w:tcW w:w="3685" w:type="dxa"/>
        </w:tcPr>
        <w:p w14:paraId="1BE7275D" w14:textId="3212B8CF" w:rsidR="006047E8" w:rsidRPr="00AA5CDD" w:rsidRDefault="006047E8" w:rsidP="00FA74C1">
          <w:pPr>
            <w:pStyle w:val="Footer"/>
            <w:spacing w:before="0" w:after="0"/>
            <w:jc w:val="right"/>
            <w:rPr>
              <w:sz w:val="16"/>
              <w:szCs w:val="16"/>
            </w:rPr>
          </w:pPr>
          <w:r w:rsidRPr="00AA5CDD">
            <w:rPr>
              <w:sz w:val="16"/>
              <w:szCs w:val="16"/>
            </w:rPr>
            <w:t>V20</w:t>
          </w:r>
          <w:r w:rsidR="007D48C6" w:rsidRPr="00AA5CDD">
            <w:rPr>
              <w:sz w:val="16"/>
              <w:szCs w:val="16"/>
            </w:rPr>
            <w:t>250326</w:t>
          </w:r>
        </w:p>
      </w:tc>
    </w:tr>
  </w:tbl>
  <w:p w14:paraId="16045B0D" w14:textId="77777777" w:rsidR="006047E8" w:rsidRPr="00AA5CDD" w:rsidRDefault="006047E8" w:rsidP="00FA74C1">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C5BFB" w14:textId="77777777" w:rsidR="00677228" w:rsidRDefault="00677228" w:rsidP="0020543C">
      <w:r>
        <w:separator/>
      </w:r>
    </w:p>
  </w:footnote>
  <w:footnote w:type="continuationSeparator" w:id="0">
    <w:p w14:paraId="348CE768" w14:textId="77777777" w:rsidR="00677228" w:rsidRDefault="00677228" w:rsidP="0020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B46035" w:rsidRPr="00842353" w14:paraId="3E7FF2EA" w14:textId="77777777" w:rsidTr="004D63FF">
      <w:tc>
        <w:tcPr>
          <w:tcW w:w="6345" w:type="dxa"/>
          <w:vAlign w:val="center"/>
        </w:tcPr>
        <w:p w14:paraId="3B36BE6E" w14:textId="77777777" w:rsidR="00B46035" w:rsidRPr="00842353" w:rsidRDefault="00B46035" w:rsidP="00B46035">
          <w:pPr>
            <w:pStyle w:val="Header"/>
            <w:spacing w:before="0" w:after="0"/>
            <w:rPr>
              <w:sz w:val="16"/>
              <w:szCs w:val="16"/>
            </w:rPr>
          </w:pPr>
          <w:r w:rsidRPr="00842353">
            <w:rPr>
              <w:sz w:val="16"/>
              <w:szCs w:val="16"/>
              <w:lang w:val="en-GB"/>
            </w:rPr>
            <w:drawing>
              <wp:inline distT="0" distB="0" distL="0" distR="0" wp14:anchorId="2F05D3C8" wp14:editId="0D9A6292">
                <wp:extent cx="1851147" cy="715873"/>
                <wp:effectExtent l="0" t="0" r="3175" b="0"/>
                <wp:docPr id="2118352549" name="Picture 1" descr="A black background with blue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background with blue and grey text&#10;&#10;AI-generated content may be incorrect."/>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3E3447DF" w14:textId="77777777" w:rsidR="00B46035" w:rsidRPr="00842353" w:rsidRDefault="00B46035" w:rsidP="00B46035">
          <w:pPr>
            <w:pStyle w:val="Header"/>
            <w:spacing w:before="0" w:after="0"/>
            <w:rPr>
              <w:sz w:val="16"/>
              <w:szCs w:val="16"/>
            </w:rPr>
          </w:pPr>
        </w:p>
      </w:tc>
      <w:tc>
        <w:tcPr>
          <w:tcW w:w="1417" w:type="dxa"/>
          <w:vAlign w:val="center"/>
        </w:tcPr>
        <w:p w14:paraId="76B5FB8B" w14:textId="77777777" w:rsidR="00B46035" w:rsidRPr="00842353" w:rsidRDefault="00B46035" w:rsidP="00B46035">
          <w:pPr>
            <w:pStyle w:val="Header"/>
            <w:spacing w:before="0" w:after="0"/>
            <w:rPr>
              <w:sz w:val="16"/>
              <w:szCs w:val="16"/>
            </w:rPr>
          </w:pPr>
          <w:r w:rsidRPr="00842353">
            <w:rPr>
              <w:sz w:val="16"/>
              <w:szCs w:val="16"/>
              <w:lang w:val="en-GB"/>
            </w:rPr>
            <w:drawing>
              <wp:inline distT="0" distB="0" distL="0" distR="0" wp14:anchorId="76C43661" wp14:editId="6067220B">
                <wp:extent cx="727765" cy="332022"/>
                <wp:effectExtent l="0" t="0" r="8890" b="0"/>
                <wp:docPr id="226609665" name="Picture 226609665" descr="A whit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etter on a black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4D96D8BE" w14:textId="77777777" w:rsidR="00B46035" w:rsidRPr="005F35E2" w:rsidRDefault="00B46035" w:rsidP="00B46035">
    <w:pPr>
      <w:pStyle w:val="Header"/>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04B"/>
    <w:multiLevelType w:val="hybridMultilevel"/>
    <w:tmpl w:val="A00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F2571"/>
    <w:multiLevelType w:val="hybridMultilevel"/>
    <w:tmpl w:val="5490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E72A0"/>
    <w:multiLevelType w:val="hybridMultilevel"/>
    <w:tmpl w:val="79B2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517B3"/>
    <w:multiLevelType w:val="multilevel"/>
    <w:tmpl w:val="E1E49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2939AB"/>
    <w:multiLevelType w:val="multilevel"/>
    <w:tmpl w:val="42645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2D4A4C"/>
    <w:multiLevelType w:val="hybridMultilevel"/>
    <w:tmpl w:val="073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0154F"/>
    <w:multiLevelType w:val="hybridMultilevel"/>
    <w:tmpl w:val="7266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E2CFC"/>
    <w:multiLevelType w:val="multilevel"/>
    <w:tmpl w:val="1A220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077CDB"/>
    <w:multiLevelType w:val="multilevel"/>
    <w:tmpl w:val="50C87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C622E5"/>
    <w:multiLevelType w:val="hybridMultilevel"/>
    <w:tmpl w:val="C596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B241B"/>
    <w:multiLevelType w:val="multilevel"/>
    <w:tmpl w:val="92207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E2283B"/>
    <w:multiLevelType w:val="hybridMultilevel"/>
    <w:tmpl w:val="239C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C1DC9"/>
    <w:multiLevelType w:val="multilevel"/>
    <w:tmpl w:val="B30A3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6463538">
    <w:abstractNumId w:val="4"/>
  </w:num>
  <w:num w:numId="2" w16cid:durableId="977733439">
    <w:abstractNumId w:val="12"/>
  </w:num>
  <w:num w:numId="3" w16cid:durableId="1453402527">
    <w:abstractNumId w:val="10"/>
  </w:num>
  <w:num w:numId="4" w16cid:durableId="1413547335">
    <w:abstractNumId w:val="3"/>
  </w:num>
  <w:num w:numId="5" w16cid:durableId="2141608596">
    <w:abstractNumId w:val="7"/>
  </w:num>
  <w:num w:numId="6" w16cid:durableId="1817145189">
    <w:abstractNumId w:val="8"/>
  </w:num>
  <w:num w:numId="7" w16cid:durableId="2048749474">
    <w:abstractNumId w:val="11"/>
  </w:num>
  <w:num w:numId="8" w16cid:durableId="1217861645">
    <w:abstractNumId w:val="9"/>
  </w:num>
  <w:num w:numId="9" w16cid:durableId="23673945">
    <w:abstractNumId w:val="6"/>
  </w:num>
  <w:num w:numId="10" w16cid:durableId="1634096924">
    <w:abstractNumId w:val="1"/>
  </w:num>
  <w:num w:numId="11" w16cid:durableId="1699967907">
    <w:abstractNumId w:val="0"/>
  </w:num>
  <w:num w:numId="12" w16cid:durableId="2130582050">
    <w:abstractNumId w:val="5"/>
  </w:num>
  <w:num w:numId="13" w16cid:durableId="1852447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E8"/>
    <w:rsid w:val="000910E8"/>
    <w:rsid w:val="0020543C"/>
    <w:rsid w:val="002D2B7D"/>
    <w:rsid w:val="00462899"/>
    <w:rsid w:val="00480775"/>
    <w:rsid w:val="004D7C9F"/>
    <w:rsid w:val="0058307D"/>
    <w:rsid w:val="005C3B61"/>
    <w:rsid w:val="006047E8"/>
    <w:rsid w:val="00677228"/>
    <w:rsid w:val="007D48C6"/>
    <w:rsid w:val="007F2DB1"/>
    <w:rsid w:val="00802EEE"/>
    <w:rsid w:val="00862EAC"/>
    <w:rsid w:val="008B0B74"/>
    <w:rsid w:val="00951847"/>
    <w:rsid w:val="00986036"/>
    <w:rsid w:val="009A3100"/>
    <w:rsid w:val="009F23DC"/>
    <w:rsid w:val="00A47567"/>
    <w:rsid w:val="00AA5CDD"/>
    <w:rsid w:val="00B46035"/>
    <w:rsid w:val="00B81D92"/>
    <w:rsid w:val="00B91950"/>
    <w:rsid w:val="00C271E8"/>
    <w:rsid w:val="00C917DB"/>
    <w:rsid w:val="00CF1FB7"/>
    <w:rsid w:val="00D7166A"/>
    <w:rsid w:val="00DF5CAF"/>
    <w:rsid w:val="00F27638"/>
    <w:rsid w:val="00FA7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F362"/>
  <w15:docId w15:val="{F95A5CC7-FC6D-5140-AAD2-8E42E7C3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43C"/>
    <w:pPr>
      <w:spacing w:before="240" w:after="240"/>
    </w:pPr>
    <w:rPr>
      <w:rFonts w:ascii="Open Sans Light" w:hAnsi="Open Sans Light" w:cs="Open Sans Light"/>
      <w:lang w:val="en-JM"/>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B91950"/>
    <w:pPr>
      <w:tabs>
        <w:tab w:val="center" w:pos="4513"/>
        <w:tab w:val="right" w:pos="9026"/>
      </w:tabs>
      <w:spacing w:line="240" w:lineRule="auto"/>
    </w:pPr>
  </w:style>
  <w:style w:type="character" w:customStyle="1" w:styleId="HeaderChar">
    <w:name w:val="Header Char"/>
    <w:basedOn w:val="DefaultParagraphFont"/>
    <w:link w:val="Header"/>
    <w:rsid w:val="00B91950"/>
  </w:style>
  <w:style w:type="paragraph" w:styleId="Footer">
    <w:name w:val="footer"/>
    <w:basedOn w:val="Normal"/>
    <w:link w:val="FooterChar"/>
    <w:uiPriority w:val="99"/>
    <w:unhideWhenUsed/>
    <w:rsid w:val="00B91950"/>
    <w:pPr>
      <w:tabs>
        <w:tab w:val="center" w:pos="4513"/>
        <w:tab w:val="right" w:pos="9026"/>
      </w:tabs>
      <w:spacing w:line="240" w:lineRule="auto"/>
    </w:pPr>
  </w:style>
  <w:style w:type="character" w:customStyle="1" w:styleId="FooterChar">
    <w:name w:val="Footer Char"/>
    <w:basedOn w:val="DefaultParagraphFont"/>
    <w:link w:val="Footer"/>
    <w:uiPriority w:val="99"/>
    <w:rsid w:val="00B91950"/>
  </w:style>
  <w:style w:type="paragraph" w:styleId="ListParagraph">
    <w:name w:val="List Paragraph"/>
    <w:basedOn w:val="Normal"/>
    <w:uiPriority w:val="34"/>
    <w:qFormat/>
    <w:rsid w:val="00B81D92"/>
    <w:pPr>
      <w:ind w:left="720"/>
      <w:contextualSpacing/>
    </w:pPr>
  </w:style>
  <w:style w:type="table" w:styleId="TableGrid">
    <w:name w:val="Table Grid"/>
    <w:basedOn w:val="TableNormal"/>
    <w:uiPriority w:val="59"/>
    <w:rsid w:val="006047E8"/>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17232">
      <w:bodyDiv w:val="1"/>
      <w:marLeft w:val="0"/>
      <w:marRight w:val="0"/>
      <w:marTop w:val="0"/>
      <w:marBottom w:val="0"/>
      <w:divBdr>
        <w:top w:val="none" w:sz="0" w:space="0" w:color="auto"/>
        <w:left w:val="none" w:sz="0" w:space="0" w:color="auto"/>
        <w:bottom w:val="none" w:sz="0" w:space="0" w:color="auto"/>
        <w:right w:val="none" w:sz="0" w:space="0" w:color="auto"/>
      </w:divBdr>
      <w:divsChild>
        <w:div w:id="2070377972">
          <w:marLeft w:val="0"/>
          <w:marRight w:val="0"/>
          <w:marTop w:val="0"/>
          <w:marBottom w:val="0"/>
          <w:divBdr>
            <w:top w:val="none" w:sz="0" w:space="0" w:color="auto"/>
            <w:left w:val="none" w:sz="0" w:space="0" w:color="auto"/>
            <w:bottom w:val="none" w:sz="0" w:space="0" w:color="auto"/>
            <w:right w:val="none" w:sz="0" w:space="0" w:color="auto"/>
          </w:divBdr>
          <w:divsChild>
            <w:div w:id="445933652">
              <w:marLeft w:val="0"/>
              <w:marRight w:val="0"/>
              <w:marTop w:val="0"/>
              <w:marBottom w:val="0"/>
              <w:divBdr>
                <w:top w:val="none" w:sz="0" w:space="0" w:color="auto"/>
                <w:left w:val="none" w:sz="0" w:space="0" w:color="auto"/>
                <w:bottom w:val="none" w:sz="0" w:space="0" w:color="auto"/>
                <w:right w:val="none" w:sz="0" w:space="0" w:color="auto"/>
              </w:divBdr>
            </w:div>
            <w:div w:id="1985616295">
              <w:marLeft w:val="0"/>
              <w:marRight w:val="0"/>
              <w:marTop w:val="0"/>
              <w:marBottom w:val="0"/>
              <w:divBdr>
                <w:top w:val="none" w:sz="0" w:space="0" w:color="auto"/>
                <w:left w:val="none" w:sz="0" w:space="0" w:color="auto"/>
                <w:bottom w:val="none" w:sz="0" w:space="0" w:color="auto"/>
                <w:right w:val="none" w:sz="0" w:space="0" w:color="auto"/>
              </w:divBdr>
            </w:div>
            <w:div w:id="832142280">
              <w:marLeft w:val="0"/>
              <w:marRight w:val="0"/>
              <w:marTop w:val="0"/>
              <w:marBottom w:val="0"/>
              <w:divBdr>
                <w:top w:val="none" w:sz="0" w:space="0" w:color="auto"/>
                <w:left w:val="none" w:sz="0" w:space="0" w:color="auto"/>
                <w:bottom w:val="none" w:sz="0" w:space="0" w:color="auto"/>
                <w:right w:val="none" w:sz="0" w:space="0" w:color="auto"/>
              </w:divBdr>
            </w:div>
            <w:div w:id="1554386364">
              <w:marLeft w:val="0"/>
              <w:marRight w:val="0"/>
              <w:marTop w:val="0"/>
              <w:marBottom w:val="0"/>
              <w:divBdr>
                <w:top w:val="none" w:sz="0" w:space="0" w:color="auto"/>
                <w:left w:val="none" w:sz="0" w:space="0" w:color="auto"/>
                <w:bottom w:val="none" w:sz="0" w:space="0" w:color="auto"/>
                <w:right w:val="none" w:sz="0" w:space="0" w:color="auto"/>
              </w:divBdr>
            </w:div>
            <w:div w:id="1703821388">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90019874">
              <w:marLeft w:val="0"/>
              <w:marRight w:val="0"/>
              <w:marTop w:val="0"/>
              <w:marBottom w:val="0"/>
              <w:divBdr>
                <w:top w:val="none" w:sz="0" w:space="0" w:color="auto"/>
                <w:left w:val="none" w:sz="0" w:space="0" w:color="auto"/>
                <w:bottom w:val="none" w:sz="0" w:space="0" w:color="auto"/>
                <w:right w:val="none" w:sz="0" w:space="0" w:color="auto"/>
              </w:divBdr>
            </w:div>
            <w:div w:id="2091612566">
              <w:marLeft w:val="0"/>
              <w:marRight w:val="0"/>
              <w:marTop w:val="0"/>
              <w:marBottom w:val="0"/>
              <w:divBdr>
                <w:top w:val="none" w:sz="0" w:space="0" w:color="auto"/>
                <w:left w:val="none" w:sz="0" w:space="0" w:color="auto"/>
                <w:bottom w:val="none" w:sz="0" w:space="0" w:color="auto"/>
                <w:right w:val="none" w:sz="0" w:space="0" w:color="auto"/>
              </w:divBdr>
            </w:div>
            <w:div w:id="461072458">
              <w:marLeft w:val="0"/>
              <w:marRight w:val="0"/>
              <w:marTop w:val="0"/>
              <w:marBottom w:val="0"/>
              <w:divBdr>
                <w:top w:val="none" w:sz="0" w:space="0" w:color="auto"/>
                <w:left w:val="none" w:sz="0" w:space="0" w:color="auto"/>
                <w:bottom w:val="none" w:sz="0" w:space="0" w:color="auto"/>
                <w:right w:val="none" w:sz="0" w:space="0" w:color="auto"/>
              </w:divBdr>
            </w:div>
            <w:div w:id="379327236">
              <w:marLeft w:val="0"/>
              <w:marRight w:val="0"/>
              <w:marTop w:val="0"/>
              <w:marBottom w:val="0"/>
              <w:divBdr>
                <w:top w:val="none" w:sz="0" w:space="0" w:color="auto"/>
                <w:left w:val="none" w:sz="0" w:space="0" w:color="auto"/>
                <w:bottom w:val="none" w:sz="0" w:space="0" w:color="auto"/>
                <w:right w:val="none" w:sz="0" w:space="0" w:color="auto"/>
              </w:divBdr>
            </w:div>
            <w:div w:id="344484586">
              <w:marLeft w:val="0"/>
              <w:marRight w:val="0"/>
              <w:marTop w:val="0"/>
              <w:marBottom w:val="0"/>
              <w:divBdr>
                <w:top w:val="none" w:sz="0" w:space="0" w:color="auto"/>
                <w:left w:val="none" w:sz="0" w:space="0" w:color="auto"/>
                <w:bottom w:val="none" w:sz="0" w:space="0" w:color="auto"/>
                <w:right w:val="none" w:sz="0" w:space="0" w:color="auto"/>
              </w:divBdr>
            </w:div>
            <w:div w:id="920260446">
              <w:marLeft w:val="0"/>
              <w:marRight w:val="0"/>
              <w:marTop w:val="0"/>
              <w:marBottom w:val="0"/>
              <w:divBdr>
                <w:top w:val="none" w:sz="0" w:space="0" w:color="auto"/>
                <w:left w:val="none" w:sz="0" w:space="0" w:color="auto"/>
                <w:bottom w:val="none" w:sz="0" w:space="0" w:color="auto"/>
                <w:right w:val="none" w:sz="0" w:space="0" w:color="auto"/>
              </w:divBdr>
            </w:div>
            <w:div w:id="499396348">
              <w:marLeft w:val="0"/>
              <w:marRight w:val="0"/>
              <w:marTop w:val="0"/>
              <w:marBottom w:val="0"/>
              <w:divBdr>
                <w:top w:val="none" w:sz="0" w:space="0" w:color="auto"/>
                <w:left w:val="none" w:sz="0" w:space="0" w:color="auto"/>
                <w:bottom w:val="none" w:sz="0" w:space="0" w:color="auto"/>
                <w:right w:val="none" w:sz="0" w:space="0" w:color="auto"/>
              </w:divBdr>
            </w:div>
            <w:div w:id="139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26</cp:revision>
  <dcterms:created xsi:type="dcterms:W3CDTF">2025-03-26T15:10:00Z</dcterms:created>
  <dcterms:modified xsi:type="dcterms:W3CDTF">2025-03-26T17:47:00Z</dcterms:modified>
</cp:coreProperties>
</file>